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FD" w:rsidRPr="001D5DA2" w:rsidRDefault="00F058FD" w:rsidP="00F058FD">
      <w:pPr>
        <w:jc w:val="right"/>
        <w:rPr>
          <w:b/>
          <w:color w:val="000000"/>
          <w:lang w:val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ПРИЛОЖЕНИЕ</w:t>
      </w:r>
      <w:r w:rsidRPr="001D5DA2">
        <w:rPr>
          <w:b/>
          <w:color w:val="000000"/>
          <w:lang w:val="bg-BG"/>
        </w:rPr>
        <w:t xml:space="preserve"> № 3</w:t>
      </w:r>
    </w:p>
    <w:p w:rsidR="00F058FD" w:rsidRPr="001D5DA2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Default="00F058FD" w:rsidP="00F058FD">
      <w:pPr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Pr="001D5DA2" w:rsidRDefault="00F058FD" w:rsidP="00F058FD">
      <w:pPr>
        <w:jc w:val="center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СКАЛА НА КРЕДИТНИТЕ РЕЙТИНГИ</w:t>
      </w:r>
    </w:p>
    <w:p w:rsidR="00F058FD" w:rsidRPr="001D5DA2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Pr="001D5DA2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tbl>
      <w:tblPr>
        <w:tblW w:w="8798" w:type="dxa"/>
        <w:tblInd w:w="108" w:type="dxa"/>
        <w:tblLook w:val="04A0"/>
      </w:tblPr>
      <w:tblGrid>
        <w:gridCol w:w="1084"/>
        <w:gridCol w:w="2208"/>
        <w:gridCol w:w="1968"/>
        <w:gridCol w:w="1888"/>
        <w:gridCol w:w="1728"/>
      </w:tblGrid>
      <w:tr w:rsidR="00F058FD" w:rsidRPr="001D5DA2" w:rsidTr="00303D19">
        <w:trPr>
          <w:trHeight w:val="540"/>
        </w:trPr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85344" distB="12573" distL="150876" distR="151638" simplePos="0" relativeHeight="251659264" behindDoc="0" locked="0" layoutInCell="1" allowOverlap="1">
                  <wp:simplePos x="0" y="0"/>
                  <wp:positionH relativeFrom="column">
                    <wp:posOffset>200279</wp:posOffset>
                  </wp:positionH>
                  <wp:positionV relativeFrom="paragraph">
                    <wp:posOffset>2438146</wp:posOffset>
                  </wp:positionV>
                  <wp:extent cx="171704" cy="390652"/>
                  <wp:effectExtent l="0" t="0" r="0" b="0"/>
                  <wp:wrapNone/>
                  <wp:docPr id="2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5750" y="3057525"/>
                            <a:ext cx="0" cy="295275"/>
                            <a:chOff x="285750" y="3057525"/>
                            <a:chExt cx="0" cy="295275"/>
                          </a:xfrm>
                        </a:grpSpPr>
                        <a:sp>
                          <a:nvSpPr>
                            <a:cNvPr id="1026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285750" y="3057525"/>
                              <a:ext cx="0" cy="2952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</w:rPr>
              <w:drawing>
                <wp:anchor distT="0" distB="6858" distL="114300" distR="116586" simplePos="0" relativeHeight="251660288" behindDoc="0" locked="0" layoutInCell="1" allowOverlap="1">
                  <wp:simplePos x="0" y="0"/>
                  <wp:positionH relativeFrom="column">
                    <wp:posOffset>275971</wp:posOffset>
                  </wp:positionH>
                  <wp:positionV relativeFrom="paragraph">
                    <wp:posOffset>2809875</wp:posOffset>
                  </wp:positionV>
                  <wp:extent cx="209550" cy="18923"/>
                  <wp:effectExtent l="6096" t="0" r="0" b="0"/>
                  <wp:wrapNone/>
                  <wp:docPr id="3" name="L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5750" y="3352800"/>
                            <a:ext cx="190500" cy="0"/>
                            <a:chOff x="285750" y="3352800"/>
                            <a:chExt cx="190500" cy="0"/>
                          </a:xfrm>
                        </a:grpSpPr>
                        <a:sp>
                          <a:nvSpPr>
                            <a:cNvPr id="1030" name="Line 6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85750" y="3352800"/>
                              <a:ext cx="3333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</w:rPr>
              <w:drawing>
                <wp:anchor distT="0" distB="89154" distL="150876" distR="151638" simplePos="0" relativeHeight="251661312" behindDoc="0" locked="0" layoutInCell="1" allowOverlap="1">
                  <wp:simplePos x="0" y="0"/>
                  <wp:positionH relativeFrom="column">
                    <wp:posOffset>200279</wp:posOffset>
                  </wp:positionH>
                  <wp:positionV relativeFrom="paragraph">
                    <wp:posOffset>2809875</wp:posOffset>
                  </wp:positionV>
                  <wp:extent cx="171704" cy="400304"/>
                  <wp:effectExtent l="0" t="0" r="0" b="0"/>
                  <wp:wrapNone/>
                  <wp:docPr id="4" name="L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5750" y="3352800"/>
                            <a:ext cx="0" cy="304800"/>
                            <a:chOff x="285750" y="3352800"/>
                            <a:chExt cx="0" cy="304800"/>
                          </a:xfrm>
                        </a:grpSpPr>
                        <a:sp>
                          <a:nvSpPr>
                            <a:cNvPr id="1031" name="Line 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85750" y="3352800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8"/>
            </w:tblGrid>
            <w:tr w:rsidR="00F058FD" w:rsidRPr="001D5DA2" w:rsidTr="00303D19">
              <w:trPr>
                <w:trHeight w:val="236"/>
                <w:tblCellSpacing w:w="0" w:type="dxa"/>
              </w:trPr>
              <w:tc>
                <w:tcPr>
                  <w:tcW w:w="868" w:type="dxa"/>
                  <w:vMerge w:val="restart"/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F058FD" w:rsidRPr="001D5DA2" w:rsidRDefault="00F058FD" w:rsidP="00303D1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bg-BG"/>
                    </w:rPr>
                  </w:pPr>
                  <w:r w:rsidRPr="001D5DA2">
                    <w:rPr>
                      <w:rFonts w:ascii="Arial" w:hAnsi="Arial" w:cs="Arial"/>
                      <w:b/>
                      <w:bCs/>
                      <w:sz w:val="20"/>
                      <w:lang w:val="bg-BG"/>
                    </w:rPr>
                    <w:t>инвестиционен рейтинг</w:t>
                  </w:r>
                </w:p>
              </w:tc>
            </w:tr>
            <w:tr w:rsidR="00F058FD" w:rsidRPr="001D5DA2" w:rsidTr="00303D19">
              <w:trPr>
                <w:trHeight w:val="4071"/>
                <w:tblCellSpacing w:w="0" w:type="dxa"/>
              </w:trPr>
              <w:tc>
                <w:tcPr>
                  <w:tcW w:w="868" w:type="dxa"/>
                  <w:vMerge/>
                  <w:vAlign w:val="center"/>
                  <w:hideMark/>
                </w:tcPr>
                <w:p w:rsidR="00F058FD" w:rsidRPr="001D5DA2" w:rsidRDefault="00F058FD" w:rsidP="00303D19">
                  <w:pPr>
                    <w:rPr>
                      <w:rFonts w:ascii="Arial" w:hAnsi="Arial" w:cs="Arial"/>
                      <w:b/>
                      <w:bCs/>
                      <w:sz w:val="20"/>
                      <w:lang w:val="bg-BG"/>
                    </w:rPr>
                  </w:pPr>
                </w:p>
              </w:tc>
            </w:tr>
          </w:tbl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</w:pPr>
            <w:proofErr w:type="spellStart"/>
            <w:r w:rsidRPr="001D5DA2"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  <w:t>Moody's</w:t>
            </w:r>
            <w:proofErr w:type="spellEnd"/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  <w:t>S&amp;P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</w:pPr>
            <w:proofErr w:type="spellStart"/>
            <w:r w:rsidRPr="001D5DA2"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  <w:t>Fitch</w:t>
            </w:r>
            <w:proofErr w:type="spellEnd"/>
          </w:p>
        </w:tc>
        <w:tc>
          <w:tcPr>
            <w:tcW w:w="17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8"/>
                <w:szCs w:val="28"/>
                <w:lang w:val="bg-BG"/>
              </w:rPr>
              <w:t>JCRA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proofErr w:type="spellStart"/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Aaa</w:t>
            </w:r>
            <w:proofErr w:type="spellEnd"/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AAA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AAA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AAA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AA+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AA+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AA-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A+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A+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A-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Baa1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BBB+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BBB+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Baa2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Baa3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BBB-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BBB-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BBB-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неинвестиционен рейтинг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Ba1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BB+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BB+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BB+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Ba3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BB-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B+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B+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B-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proofErr w:type="spellStart"/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Caa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CCC+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CCC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CCC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…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…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…</w:t>
            </w:r>
          </w:p>
        </w:tc>
      </w:tr>
      <w:tr w:rsidR="00F058FD" w:rsidRPr="001D5DA2" w:rsidTr="00303D19">
        <w:trPr>
          <w:trHeight w:val="402"/>
        </w:trPr>
        <w:tc>
          <w:tcPr>
            <w:tcW w:w="10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8FD" w:rsidRPr="001D5DA2" w:rsidRDefault="00F058FD" w:rsidP="00303D19">
            <w:pPr>
              <w:rPr>
                <w:rFonts w:ascii="Arial" w:hAnsi="Arial" w:cs="Arial"/>
                <w:b/>
                <w:bCs/>
                <w:sz w:val="20"/>
                <w:lang w:val="bg-BG"/>
              </w:rPr>
            </w:pPr>
          </w:p>
        </w:tc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C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8FD" w:rsidRPr="001D5DA2" w:rsidRDefault="00F058FD" w:rsidP="00303D19">
            <w:pPr>
              <w:jc w:val="center"/>
              <w:rPr>
                <w:rFonts w:ascii="Arial" w:hAnsi="Arial" w:cs="Arial"/>
                <w:b/>
                <w:bCs/>
                <w:sz w:val="20"/>
                <w:lang w:val="bg-BG"/>
              </w:rPr>
            </w:pPr>
            <w:r w:rsidRPr="001D5DA2">
              <w:rPr>
                <w:rFonts w:ascii="Arial" w:hAnsi="Arial" w:cs="Arial"/>
                <w:b/>
                <w:bCs/>
                <w:sz w:val="20"/>
                <w:lang w:val="bg-BG"/>
              </w:rPr>
              <w:t>D</w:t>
            </w:r>
          </w:p>
        </w:tc>
      </w:tr>
    </w:tbl>
    <w:p w:rsidR="00F058FD" w:rsidRPr="001D5DA2" w:rsidRDefault="00F058FD" w:rsidP="00F058FD">
      <w:pPr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Pr="001D5DA2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F058FD" w:rsidRDefault="00F058FD" w:rsidP="00F058FD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58FD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BB1AE2"/>
    <w:rsid w:val="00C16329"/>
    <w:rsid w:val="00F058FD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F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2014-08-06T08:04:00Z</dcterms:created>
  <dcterms:modified xsi:type="dcterms:W3CDTF">2014-08-06T08:04:00Z</dcterms:modified>
</cp:coreProperties>
</file>